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India-Italy First Bilateral Session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2">
      <w:pPr>
        <w:spacing w:after="240" w:lineRule="auto"/>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Topic: Patent Filing Procedures and Patent Examinations In India and Italy (Online).</w:t>
      </w:r>
    </w:p>
    <w:p w:rsidR="00000000" w:rsidDel="00000000" w:rsidP="00000000" w:rsidRDefault="00000000" w:rsidRPr="00000000" w14:paraId="00000003">
      <w:pPr>
        <w:spacing w:after="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28th November, 2025.</w:t>
      </w:r>
    </w:p>
    <w:p w:rsidR="00000000" w:rsidDel="00000000" w:rsidP="00000000" w:rsidRDefault="00000000" w:rsidRPr="00000000" w14:paraId="0000000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bilateral meeting between the Office of the Controller General of Patents, Designs &amp; Trade Marks (CGPDTM), India, and the Italian Patent and Trademark Office (UIBM), Italy, was held on 28 November 2025 via virtual mode with the objective of strengthening cooperation and sharing best practices in patent examination. Italy presented a comprehensive overview of its patent granting system, including filing requirements, the strict timelines for fee payments, national security checks by the Ministry of Defence, the preliminary examination of formal requirements, and the role of the European Patent Office (EPO) in preparing the Search Report and Written Opinion. The delegation also explained the patentability examination process, amendment options, divisional application procedures, and appeal mechanisms, along with details on the Italian national phase of PCT applications and the utility model filing process.</w:t>
      </w:r>
    </w:p>
    <w:p w:rsidR="00000000" w:rsidDel="00000000" w:rsidP="00000000" w:rsidRDefault="00000000" w:rsidRPr="00000000" w14:paraId="0000000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Indian side provided an overview of India’s patent administration framework and the procedures for filing various types of applications through its robust e-filing system. India outlined the documentation requirements, the two-tier examination structure involving the Examiner and Controller, and the workflow covering formality checks, prior art search, assessment of novelty, inventive step, industrial applicability, unity of invention, sufficiency of disclosure, and exclusions under Sections 3 and 4 of the Indian Patent Act. India also elaborated on the prosecution lifecycle, including FER issuance, responses, hearings, and grant/refusal processes.</w:t>
      </w:r>
    </w:p>
    <w:p w:rsidR="00000000" w:rsidDel="00000000" w:rsidP="00000000" w:rsidRDefault="00000000" w:rsidRPr="00000000" w14:paraId="0000000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Offices discussed key themes such as workflow efficiencies, expedited examination practices, fee incentives for SMEs and start-ups, digital filing platforms, and awareness-building initiatives. Participants raised questions related to accelerated examination, SME fee structures, and IP awareness initiatives, which were addressed by the Italian delegation. The meeting concluded with a shared commitment to deepen cooperation through future technical sessions, and continued dialogue on improving quality, transparency, and administrative efficiency.</w:t>
      </w:r>
    </w:p>
    <w:p w:rsidR="00000000" w:rsidDel="00000000" w:rsidP="00000000" w:rsidRDefault="00000000" w:rsidRPr="00000000" w14:paraId="0000000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Photos:</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101541"/>
            <wp:effectExtent b="0" l="0" r="0" t="0"/>
            <wp:docPr id="2" name="image4.png"/>
            <a:graphic>
              <a:graphicData uri="http://schemas.openxmlformats.org/drawingml/2006/picture">
                <pic:pic>
                  <pic:nvPicPr>
                    <pic:cNvPr id="0" name="image4.png"/>
                    <pic:cNvPicPr preferRelativeResize="0"/>
                  </pic:nvPicPr>
                  <pic:blipFill>
                    <a:blip r:embed="rId6"/>
                    <a:srcRect b="4101" l="0" r="0" t="3025"/>
                    <a:stretch>
                      <a:fillRect/>
                    </a:stretch>
                  </pic:blipFill>
                  <pic:spPr>
                    <a:xfrm>
                      <a:off x="0" y="0"/>
                      <a:ext cx="5943600" cy="310154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60792" cy="3096778"/>
            <wp:effectExtent b="0" l="0" r="0" t="0"/>
            <wp:docPr id="1" name="image1.jpg"/>
            <a:graphic>
              <a:graphicData uri="http://schemas.openxmlformats.org/drawingml/2006/picture">
                <pic:pic>
                  <pic:nvPicPr>
                    <pic:cNvPr id="0" name="image1.jpg"/>
                    <pic:cNvPicPr preferRelativeResize="0"/>
                  </pic:nvPicPr>
                  <pic:blipFill>
                    <a:blip r:embed="rId7"/>
                    <a:srcRect b="6552" l="1442" r="4166" t="6267"/>
                    <a:stretch>
                      <a:fillRect/>
                    </a:stretch>
                  </pic:blipFill>
                  <pic:spPr>
                    <a:xfrm>
                      <a:off x="0" y="0"/>
                      <a:ext cx="5960792" cy="309677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4798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479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3276600"/>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