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40" w:lineRule="auto"/>
        <w:jc w:val="cente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Report on the India</w:t>
      </w:r>
      <w:r w:rsidDel="00000000" w:rsidR="00000000" w:rsidRPr="00000000">
        <w:rPr>
          <w:rFonts w:ascii="Calibri" w:cs="Calibri" w:eastAsia="Calibri" w:hAnsi="Calibri"/>
          <w:b w:val="1"/>
          <w:bCs w:val="1"/>
          <w:rtl w:val="0"/>
        </w:rPr>
        <w:t xml:space="preserve">-</w:t>
      </w:r>
      <w:r w:rsidDel="00000000" w:rsidR="00000000" w:rsidRPr="00000000">
        <w:rPr>
          <w:rFonts w:ascii="Calibri" w:cs="Calibri" w:eastAsia="Calibri" w:hAnsi="Calibri"/>
          <w:b w:val="1"/>
          <w:bCs w:val="1"/>
          <w:color w:val="000000"/>
          <w:rtl w:val="0"/>
        </w:rPr>
        <w:t xml:space="preserve">Canada Bilateral Session on Computer-Related Inventions (CRI)</w:t>
      </w:r>
      <w:r w:rsidDel="00000000" w:rsidR="00000000" w:rsidRPr="00000000">
        <w:rPr>
          <w:rFonts w:ascii="Calibri" w:cs="Calibri" w:eastAsia="Calibri" w:hAnsi="Calibri"/>
          <w:color w:val="000000"/>
          <w:rtl w:val="0"/>
        </w:rPr>
        <w:br w:type="textWrapp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14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Date: </w:t>
      </w:r>
      <w:r w:rsidDel="00000000" w:rsidR="00000000" w:rsidRPr="00000000">
        <w:rPr>
          <w:rFonts w:ascii="Calibri" w:cs="Calibri" w:eastAsia="Calibri" w:hAnsi="Calibri"/>
          <w:color w:val="000000"/>
          <w:rtl w:val="0"/>
        </w:rPr>
        <w:t xml:space="preserve">9 January 2026</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14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Mode: </w:t>
      </w:r>
      <w:r w:rsidDel="00000000" w:rsidR="00000000" w:rsidRPr="00000000">
        <w:rPr>
          <w:rFonts w:ascii="Calibri" w:cs="Calibri" w:eastAsia="Calibri" w:hAnsi="Calibri"/>
          <w:color w:val="000000"/>
          <w:rtl w:val="0"/>
        </w:rPr>
        <w:t xml:space="preserve">Online</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4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Duration:</w:t>
      </w:r>
      <w:r w:rsidDel="00000000" w:rsidR="00000000" w:rsidRPr="00000000">
        <w:rPr>
          <w:rFonts w:ascii="Calibri" w:cs="Calibri" w:eastAsia="Calibri" w:hAnsi="Calibri"/>
          <w:color w:val="000000"/>
          <w:rtl w:val="0"/>
        </w:rPr>
        <w:t xml:space="preserve"> 06:30 PM - 08:15 PM IST (08:00 AM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 9:45 PM EST)</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140" w:lineRule="auto"/>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Participants: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14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India:</w:t>
      </w:r>
    </w:p>
    <w:p w:rsidR="00000000" w:rsidDel="00000000" w:rsidP="00000000" w:rsidRDefault="00000000" w:rsidRPr="00000000" w14:paraId="00000007">
      <w:pPr>
        <w:numPr>
          <w:ilvl w:val="0"/>
          <w:numId w:val="2"/>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Mr. Santosh Kumar Gupta, Assistant Controller of P&amp;D</w:t>
      </w:r>
    </w:p>
    <w:p w:rsidR="00000000" w:rsidDel="00000000" w:rsidP="00000000" w:rsidRDefault="00000000" w:rsidRPr="00000000" w14:paraId="00000008">
      <w:pPr>
        <w:numPr>
          <w:ilvl w:val="0"/>
          <w:numId w:val="2"/>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Mr. Rahul Gehlan, Assistant Controller of P&amp;D</w:t>
      </w:r>
    </w:p>
    <w:p w:rsidR="00000000" w:rsidDel="00000000" w:rsidP="00000000" w:rsidRDefault="00000000" w:rsidRPr="00000000" w14:paraId="00000009">
      <w:pPr>
        <w:numPr>
          <w:ilvl w:val="0"/>
          <w:numId w:val="2"/>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Mr. Chandan Jha, Assistant Controller of P&amp;D</w:t>
      </w:r>
    </w:p>
    <w:p w:rsidR="00000000" w:rsidDel="00000000" w:rsidP="00000000" w:rsidRDefault="00000000" w:rsidRPr="00000000" w14:paraId="0000000A">
      <w:pPr>
        <w:numPr>
          <w:ilvl w:val="0"/>
          <w:numId w:val="2"/>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Mr. Vishal Shukla, Assistant Controller of P&amp;D</w:t>
      </w:r>
    </w:p>
    <w:p w:rsidR="00000000" w:rsidDel="00000000" w:rsidP="00000000" w:rsidRDefault="00000000" w:rsidRPr="00000000" w14:paraId="0000000B">
      <w:pPr>
        <w:numPr>
          <w:ilvl w:val="0"/>
          <w:numId w:val="2"/>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Ms. Tripti Pandey, Examiner of P&amp;D</w:t>
      </w:r>
    </w:p>
    <w:p w:rsidR="00000000" w:rsidDel="00000000" w:rsidP="00000000" w:rsidRDefault="00000000" w:rsidRPr="00000000" w14:paraId="0000000C">
      <w:pPr>
        <w:numPr>
          <w:ilvl w:val="0"/>
          <w:numId w:val="2"/>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Mr. Aayush Kumar Pandey, Examiner of P&amp;D</w:t>
      </w:r>
    </w:p>
    <w:p w:rsidR="00000000" w:rsidDel="00000000" w:rsidP="00000000" w:rsidRDefault="00000000" w:rsidRPr="00000000" w14:paraId="0000000D">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76"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Canada:</w:t>
      </w:r>
    </w:p>
    <w:p w:rsidR="00000000" w:rsidDel="00000000" w:rsidP="00000000" w:rsidRDefault="00000000" w:rsidRPr="00000000" w14:paraId="0000000F">
      <w:pPr>
        <w:numPr>
          <w:ilvl w:val="0"/>
          <w:numId w:val="5"/>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Mr. Craig Macmillan, Deputy Director - International, Patent Policy and International Affairs Division</w:t>
      </w:r>
    </w:p>
    <w:p w:rsidR="00000000" w:rsidDel="00000000" w:rsidP="00000000" w:rsidRDefault="00000000" w:rsidRPr="00000000" w14:paraId="00000010">
      <w:pPr>
        <w:numPr>
          <w:ilvl w:val="0"/>
          <w:numId w:val="5"/>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Mr. Andrew Davidson, Program Manager, International (PPH), Patent Policy and International Affairs Division, Patent Branch</w:t>
      </w:r>
    </w:p>
    <w:p w:rsidR="00000000" w:rsidDel="00000000" w:rsidP="00000000" w:rsidRDefault="00000000" w:rsidRPr="00000000" w14:paraId="00000011">
      <w:pPr>
        <w:numPr>
          <w:ilvl w:val="0"/>
          <w:numId w:val="5"/>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Mr. Howard Sandler, Expert, Patent Practice Division, CIPO</w:t>
      </w:r>
    </w:p>
    <w:p w:rsidR="00000000" w:rsidDel="00000000" w:rsidP="00000000" w:rsidRDefault="00000000" w:rsidRPr="00000000" w14:paraId="00000012">
      <w:pPr>
        <w:numPr>
          <w:ilvl w:val="0"/>
          <w:numId w:val="5"/>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Mr. </w:t>
      </w:r>
      <w:r w:rsidDel="00000000" w:rsidR="00000000" w:rsidRPr="00000000">
        <w:rPr>
          <w:rFonts w:ascii="Calibri" w:cs="Calibri" w:eastAsia="Calibri" w:hAnsi="Calibri"/>
          <w:highlight w:val="white"/>
          <w:rtl w:val="0"/>
        </w:rPr>
        <w:t xml:space="preserve">Jeremy Mclean, Program Manager, CIPO</w:t>
      </w:r>
    </w:p>
    <w:p w:rsidR="00000000" w:rsidDel="00000000" w:rsidP="00000000" w:rsidRDefault="00000000" w:rsidRPr="00000000" w14:paraId="00000013">
      <w:pPr>
        <w:numPr>
          <w:ilvl w:val="0"/>
          <w:numId w:val="5"/>
        </w:numPr>
        <w:spacing w:line="276" w:lineRule="auto"/>
        <w:ind w:left="720" w:hanging="36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Ms. Sarita Chaudhary, Project coordinator, Patent policy and International Affairs division CIPO</w:t>
      </w:r>
    </w:p>
    <w:p w:rsidR="00000000" w:rsidDel="00000000" w:rsidP="00000000" w:rsidRDefault="00000000" w:rsidRPr="00000000" w14:paraId="00000014">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40" w:line="276" w:lineRule="auto"/>
        <w:jc w:val="both"/>
        <w:rPr>
          <w:rFonts w:ascii="Calibri" w:cs="Calibri" w:eastAsia="Calibri" w:hAnsi="Calibri"/>
        </w:rPr>
      </w:pPr>
      <w:r w:rsidDel="00000000" w:rsidR="00000000" w:rsidRPr="00000000">
        <w:rPr>
          <w:rFonts w:ascii="Calibri" w:cs="Calibri" w:eastAsia="Calibri" w:hAnsi="Calibri"/>
          <w:b w:val="1"/>
          <w:bCs w:val="1"/>
          <w:rtl w:val="0"/>
        </w:rPr>
        <w:t xml:space="preserve">Introduction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The Office of the Controller General of Patents, Designs and Trade Marks (CGPDTM), India, and the </w:t>
      </w:r>
      <w:r w:rsidDel="00000000" w:rsidR="00000000" w:rsidRPr="00000000">
        <w:rPr>
          <w:rFonts w:ascii="Calibri" w:cs="Calibri" w:eastAsia="Calibri" w:hAnsi="Calibri"/>
          <w:rtl w:val="0"/>
        </w:rPr>
        <w:t xml:space="preserve">Canadian Intellectual Property</w:t>
      </w:r>
      <w:r w:rsidDel="00000000" w:rsidR="00000000" w:rsidRPr="00000000">
        <w:rPr>
          <w:rFonts w:ascii="Calibri" w:cs="Calibri" w:eastAsia="Calibri" w:hAnsi="Calibri"/>
          <w:color w:val="000000"/>
          <w:rtl w:val="0"/>
        </w:rPr>
        <w:t xml:space="preserve"> Office (</w:t>
      </w:r>
      <w:r w:rsidDel="00000000" w:rsidR="00000000" w:rsidRPr="00000000">
        <w:rPr>
          <w:rFonts w:ascii="Calibri" w:cs="Calibri" w:eastAsia="Calibri" w:hAnsi="Calibri"/>
          <w:rtl w:val="0"/>
        </w:rPr>
        <w:t xml:space="preserve">CIPO</w:t>
      </w:r>
      <w:r w:rsidDel="00000000" w:rsidR="00000000" w:rsidRPr="00000000">
        <w:rPr>
          <w:rFonts w:ascii="Calibri" w:cs="Calibri" w:eastAsia="Calibri" w:hAnsi="Calibri"/>
          <w:color w:val="000000"/>
          <w:rtl w:val="0"/>
        </w:rPr>
        <w:t xml:space="preserve">) jointly conducted an online technical exchange session on Computer-Related Inventions (CRI), with a special focus on </w:t>
      </w:r>
      <w:r w:rsidDel="00000000" w:rsidR="00000000" w:rsidRPr="00000000">
        <w:rPr>
          <w:rFonts w:ascii="Calibri" w:cs="Calibri" w:eastAsia="Calibri" w:hAnsi="Calibri"/>
          <w:rtl w:val="0"/>
        </w:rPr>
        <w:t xml:space="preserve">Case-Laws related to</w:t>
      </w:r>
      <w:r w:rsidDel="00000000" w:rsidR="00000000" w:rsidRPr="00000000">
        <w:rPr>
          <w:rFonts w:ascii="Calibri" w:cs="Calibri" w:eastAsia="Calibri" w:hAnsi="Calibri"/>
          <w:color w:val="000000"/>
          <w:rtl w:val="0"/>
        </w:rPr>
        <w:t xml:space="preserve"> examination practices. The objective was to foster collaboration, strengthen examination consistency, and enhance mutual understanding of CRI frameworks across jurisdictions. The agenda included:</w:t>
      </w:r>
      <w:r w:rsidDel="00000000" w:rsidR="00000000" w:rsidRPr="00000000">
        <w:rPr>
          <w:rtl w:val="0"/>
        </w:rPr>
      </w:r>
    </w:p>
    <w:p w:rsidR="00000000" w:rsidDel="00000000" w:rsidP="00000000" w:rsidRDefault="00000000" w:rsidRPr="00000000" w14:paraId="00000016">
      <w:pPr>
        <w:numPr>
          <w:ilvl w:val="0"/>
          <w:numId w:val="7"/>
        </w:numPr>
        <w:spacing w:after="0" w:afterAutospacing="0" w:before="240" w:line="276"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CIPO comments and discussion of practice examples in IPO CII guidance</w:t>
      </w:r>
    </w:p>
    <w:p w:rsidR="00000000" w:rsidDel="00000000" w:rsidP="00000000" w:rsidRDefault="00000000" w:rsidRPr="00000000" w14:paraId="00000017">
      <w:pPr>
        <w:numPr>
          <w:ilvl w:val="0"/>
          <w:numId w:val="7"/>
        </w:numPr>
        <w:spacing w:after="0" w:afterAutospacing="0" w:before="0" w:beforeAutospacing="0" w:line="276"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IPO comments and discussion of practice examples in CIPO CII guidance</w:t>
      </w:r>
    </w:p>
    <w:p w:rsidR="00000000" w:rsidDel="00000000" w:rsidP="00000000" w:rsidRDefault="00000000" w:rsidRPr="00000000" w14:paraId="00000018">
      <w:pPr>
        <w:numPr>
          <w:ilvl w:val="0"/>
          <w:numId w:val="7"/>
        </w:numPr>
        <w:spacing w:after="240" w:before="0" w:beforeAutospacing="0" w:line="276" w:lineRule="auto"/>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Discussion of similarities and differences in practice and laws</w:t>
      </w:r>
    </w:p>
    <w:p w:rsidR="00000000" w:rsidDel="00000000" w:rsidP="00000000" w:rsidRDefault="00000000" w:rsidRPr="00000000" w14:paraId="00000019">
      <w:pPr>
        <w:spacing w:after="20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Overview of Presentations and Discussions</w:t>
      </w:r>
    </w:p>
    <w:p w:rsidR="00000000" w:rsidDel="00000000" w:rsidP="00000000" w:rsidRDefault="00000000" w:rsidRPr="00000000" w14:paraId="0000001A">
      <w:pPr>
        <w:keepNext w:val="0"/>
        <w:spacing w:after="80" w:before="28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Subject-Matter Eligibility and Legal Frameworks</w:t>
      </w:r>
    </w:p>
    <w:p w:rsidR="00000000" w:rsidDel="00000000" w:rsidP="00000000" w:rsidRDefault="00000000" w:rsidRPr="00000000" w14:paraId="0000001B">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CIPO presented an overview of its approach to patentable subject matter, including categorisation of inventions under Art, Process, Machine, Manufacture, and Composition of Matter. Discussions focused on how software-driven logic may fall within the “Art” or “Process” category when tied to practical application or technological implementation.</w:t>
      </w:r>
    </w:p>
    <w:p w:rsidR="00000000" w:rsidDel="00000000" w:rsidP="00000000" w:rsidRDefault="00000000" w:rsidRPr="00000000" w14:paraId="0000001C">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IPO officials sought clarifications on how CIPO distinguishes between patent-eligible processes and abstract ideas, particularly in relation to computer programs and algorithms. The exchange also included reflections on IPO’s approach under Section 3(k) of the Indian Patents Act, and how exclusions relating to “computer programs per se” are interpreted in practice.</w:t>
      </w:r>
    </w:p>
    <w:p w:rsidR="00000000" w:rsidDel="00000000" w:rsidP="00000000" w:rsidRDefault="00000000" w:rsidRPr="00000000" w14:paraId="0000001D">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Both Offices noted that although statutory frameworks differ, there are common considerations relating to technological contribution, practical application, and examination consistency.</w:t>
      </w:r>
    </w:p>
    <w:p w:rsidR="00000000" w:rsidDel="00000000" w:rsidP="00000000" w:rsidRDefault="00000000" w:rsidRPr="00000000" w14:paraId="0000001E">
      <w:pPr>
        <w:keepNext w:val="0"/>
        <w:spacing w:after="80" w:before="28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Sufficiency of Disclosure and Enablement</w:t>
      </w:r>
    </w:p>
    <w:p w:rsidR="00000000" w:rsidDel="00000000" w:rsidP="00000000" w:rsidRDefault="00000000" w:rsidRPr="00000000" w14:paraId="0000001F">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A significant portion of the discussion addressed sufficiency of disclosure, including requirements for source code versus pseudocode. CIPO explained that detailed source code is not always mandatory, provided that the disclosure enables a person skilled in the art to implement the invention using common general knowledge.</w:t>
      </w:r>
    </w:p>
    <w:p w:rsidR="00000000" w:rsidDel="00000000" w:rsidP="00000000" w:rsidRDefault="00000000" w:rsidRPr="00000000" w14:paraId="00000020">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IPO officials raised questions regarding:</w:t>
      </w:r>
    </w:p>
    <w:p w:rsidR="00000000" w:rsidDel="00000000" w:rsidP="00000000" w:rsidRDefault="00000000" w:rsidRPr="00000000" w14:paraId="00000021">
      <w:pPr>
        <w:numPr>
          <w:ilvl w:val="0"/>
          <w:numId w:val="6"/>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Thresholds for considering pseudocode “sufficiently described”</w:t>
      </w:r>
    </w:p>
    <w:p w:rsidR="00000000" w:rsidDel="00000000" w:rsidP="00000000" w:rsidRDefault="00000000" w:rsidRPr="00000000" w14:paraId="00000022">
      <w:pPr>
        <w:numPr>
          <w:ilvl w:val="0"/>
          <w:numId w:val="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role of Common General Knowledge (CGK) in bridging disclosure gaps</w:t>
      </w:r>
    </w:p>
    <w:p w:rsidR="00000000" w:rsidDel="00000000" w:rsidP="00000000" w:rsidRDefault="00000000" w:rsidRPr="00000000" w14:paraId="00000023">
      <w:pPr>
        <w:numPr>
          <w:ilvl w:val="0"/>
          <w:numId w:val="6"/>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Challenges in assessing enablement in rapidly evolving software domains</w:t>
      </w:r>
    </w:p>
    <w:p w:rsidR="00000000" w:rsidDel="00000000" w:rsidP="00000000" w:rsidRDefault="00000000" w:rsidRPr="00000000" w14:paraId="00000024">
      <w:pPr>
        <w:spacing w:after="240" w:before="240" w:lineRule="auto"/>
        <w:jc w:val="both"/>
        <w:rPr>
          <w:rFonts w:ascii="Calibri" w:cs="Calibri" w:eastAsia="Calibri" w:hAnsi="Calibri"/>
          <w:b w:val="1"/>
          <w:bCs w:val="1"/>
        </w:rPr>
      </w:pPr>
      <w:r w:rsidDel="00000000" w:rsidR="00000000" w:rsidRPr="00000000">
        <w:rPr>
          <w:rFonts w:ascii="Calibri" w:cs="Calibri" w:eastAsia="Calibri" w:hAnsi="Calibri"/>
          <w:rtl w:val="0"/>
        </w:rPr>
        <w:t xml:space="preserve">CIPO highlighted the importance of contextual evaluation based on technological complexity and the expectations of skilled practitioners in the field.</w:t>
      </w:r>
      <w:r w:rsidDel="00000000" w:rsidR="00000000" w:rsidRPr="00000000">
        <w:rPr>
          <w:rtl w:val="0"/>
        </w:rPr>
      </w:r>
    </w:p>
    <w:p w:rsidR="00000000" w:rsidDel="00000000" w:rsidP="00000000" w:rsidRDefault="00000000" w:rsidRPr="00000000" w14:paraId="00000025">
      <w:pPr>
        <w:keepNext w:val="0"/>
        <w:spacing w:after="80" w:before="28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Artificial Intelligence and Machine Learning</w:t>
      </w:r>
    </w:p>
    <w:p w:rsidR="00000000" w:rsidDel="00000000" w:rsidP="00000000" w:rsidRDefault="00000000" w:rsidRPr="00000000" w14:paraId="00000026">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exchange included an in-depth discussion on emerging issues related to AI and ML-based inventions. Topics included:</w:t>
      </w:r>
    </w:p>
    <w:p w:rsidR="00000000" w:rsidDel="00000000" w:rsidP="00000000" w:rsidRDefault="00000000" w:rsidRPr="00000000" w14:paraId="00000027">
      <w:pPr>
        <w:numPr>
          <w:ilvl w:val="0"/>
          <w:numId w:val="1"/>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Treatment of AI-generated vs. AI-assisted inventions</w:t>
      </w:r>
    </w:p>
    <w:p w:rsidR="00000000" w:rsidDel="00000000" w:rsidP="00000000" w:rsidRDefault="00000000" w:rsidRPr="00000000" w14:paraId="00000028">
      <w:pPr>
        <w:numPr>
          <w:ilvl w:val="0"/>
          <w:numId w:val="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Classification of neural networks and deep learning architectures as “Process” or “Machine”</w:t>
      </w:r>
    </w:p>
    <w:p w:rsidR="00000000" w:rsidDel="00000000" w:rsidP="00000000" w:rsidRDefault="00000000" w:rsidRPr="00000000" w14:paraId="00000029">
      <w:pPr>
        <w:numPr>
          <w:ilvl w:val="0"/>
          <w:numId w:val="1"/>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Examination challenges arising from Generative AI and Agentic AI, particularly where outputs appear inventive but may reflect automated optimisation.</w:t>
      </w:r>
    </w:p>
    <w:p w:rsidR="00000000" w:rsidDel="00000000" w:rsidP="00000000" w:rsidRDefault="00000000" w:rsidRPr="00000000" w14:paraId="0000002A">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IPO officials explored whether widespread use of advanced AI tools could influence the interpretation of the “person skilled in the art” and potentially raise the inventive-step threshold. CIPO acknowledged that AI-related examination practices are evolving and require careful case-by-case analysis.</w:t>
      </w:r>
    </w:p>
    <w:p w:rsidR="00000000" w:rsidDel="00000000" w:rsidP="00000000" w:rsidRDefault="00000000" w:rsidRPr="00000000" w14:paraId="0000002B">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Questions were also raised regarding attribution of responsibility in AI-driven innovation ecosystems, and how examiners may evaluate disclosures where AI systems autonomously generate technical outputs.</w:t>
      </w:r>
    </w:p>
    <w:p w:rsidR="00000000" w:rsidDel="00000000" w:rsidP="00000000" w:rsidRDefault="00000000" w:rsidRPr="00000000" w14:paraId="0000002C">
      <w:pPr>
        <w:keepNext w:val="0"/>
        <w:spacing w:after="80" w:before="28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Practice Examples and Comparative Perspectives</w:t>
      </w:r>
    </w:p>
    <w:p w:rsidR="00000000" w:rsidDel="00000000" w:rsidP="00000000" w:rsidRDefault="00000000" w:rsidRPr="00000000" w14:paraId="0000002D">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Both Offices discussed practical examples drawn from their respective guidance documents. The discussions addressed:</w:t>
      </w:r>
    </w:p>
    <w:p w:rsidR="00000000" w:rsidDel="00000000" w:rsidP="00000000" w:rsidRDefault="00000000" w:rsidRPr="00000000" w14:paraId="0000002E">
      <w:pPr>
        <w:numPr>
          <w:ilvl w:val="0"/>
          <w:numId w:val="3"/>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Evaluation of business-method-related inventions</w:t>
      </w:r>
    </w:p>
    <w:p w:rsidR="00000000" w:rsidDel="00000000" w:rsidP="00000000" w:rsidRDefault="00000000" w:rsidRPr="00000000" w14:paraId="0000002F">
      <w:pPr>
        <w:numPr>
          <w:ilvl w:val="0"/>
          <w:numId w:val="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Assessment of machine-related implementations involving software</w:t>
      </w:r>
    </w:p>
    <w:p w:rsidR="00000000" w:rsidDel="00000000" w:rsidP="00000000" w:rsidRDefault="00000000" w:rsidRPr="00000000" w14:paraId="00000030">
      <w:pPr>
        <w:numPr>
          <w:ilvl w:val="0"/>
          <w:numId w:val="3"/>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Distinction between mere scientific principles and patentable technical processes.</w:t>
      </w:r>
    </w:p>
    <w:p w:rsidR="00000000" w:rsidDel="00000000" w:rsidP="00000000" w:rsidRDefault="00000000" w:rsidRPr="00000000" w14:paraId="00000031">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dialogue highlighted both similarities and divergences in examination practice. While IPO emphasises statutory exclusions under Section 3(k), CIPO relies more heavily on purposive claim construction and categorisation under its statutory definition of invention.</w:t>
      </w:r>
    </w:p>
    <w:p w:rsidR="00000000" w:rsidDel="00000000" w:rsidP="00000000" w:rsidRDefault="00000000" w:rsidRPr="00000000" w14:paraId="00000032">
      <w:pPr>
        <w:keepNext w:val="0"/>
        <w:spacing w:after="80" w:before="280" w:lineRule="auto"/>
        <w:jc w:val="both"/>
        <w:rPr>
          <w:rFonts w:ascii="Calibri" w:cs="Calibri" w:eastAsia="Calibri" w:hAnsi="Calibri"/>
        </w:rPr>
      </w:pPr>
      <w:r w:rsidDel="00000000" w:rsidR="00000000" w:rsidRPr="00000000">
        <w:rPr>
          <w:rFonts w:ascii="Calibri" w:cs="Calibri" w:eastAsia="Calibri" w:hAnsi="Calibri"/>
          <w:b w:val="1"/>
          <w:bCs w:val="1"/>
          <w:rtl w:val="0"/>
        </w:rPr>
        <w:t xml:space="preserve">Outcomes</w:t>
      </w:r>
      <w:r w:rsidDel="00000000" w:rsidR="00000000" w:rsidRPr="00000000">
        <w:rPr>
          <w:rtl w:val="0"/>
        </w:rPr>
      </w:r>
    </w:p>
    <w:p w:rsidR="00000000" w:rsidDel="00000000" w:rsidP="00000000" w:rsidRDefault="00000000" w:rsidRPr="00000000" w14:paraId="00000033">
      <w:pPr>
        <w:numPr>
          <w:ilvl w:val="0"/>
          <w:numId w:val="4"/>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meeting strengthened mutual understanding of CRI examination practices and legal interpretations.</w:t>
      </w:r>
    </w:p>
    <w:p w:rsidR="00000000" w:rsidDel="00000000" w:rsidP="00000000" w:rsidRDefault="00000000" w:rsidRPr="00000000" w14:paraId="00000034">
      <w:pPr>
        <w:numPr>
          <w:ilvl w:val="0"/>
          <w:numId w:val="4"/>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Both Offices identified common challenges relating to AI-driven inventions, disclosure sufficiency, and subject-matter eligibility.</w:t>
      </w:r>
    </w:p>
    <w:p w:rsidR="00000000" w:rsidDel="00000000" w:rsidP="00000000" w:rsidRDefault="00000000" w:rsidRPr="00000000" w14:paraId="00000035">
      <w:pPr>
        <w:numPr>
          <w:ilvl w:val="0"/>
          <w:numId w:val="4"/>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exchange underscored the importance of continued dialogue to address evolving jurisprudence and technological developments.</w:t>
      </w:r>
    </w:p>
    <w:p w:rsidR="00000000" w:rsidDel="00000000" w:rsidP="00000000" w:rsidRDefault="00000000" w:rsidRPr="00000000" w14:paraId="00000036">
      <w:pPr>
        <w:ind w:left="0" w:firstLine="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7">
      <w:pPr>
        <w:ind w:left="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Snippets:</w:t>
      </w:r>
    </w:p>
    <w:p w:rsidR="00000000" w:rsidDel="00000000" w:rsidP="00000000" w:rsidRDefault="00000000" w:rsidRPr="00000000" w14:paraId="00000038">
      <w:pPr>
        <w:jc w:val="both"/>
        <w:rPr>
          <w:rFonts w:ascii="Calibri" w:cs="Calibri" w:eastAsia="Calibri" w:hAnsi="Calibri"/>
        </w:rPr>
      </w:pPr>
      <w:r w:rsidDel="00000000" w:rsidR="00000000" w:rsidRPr="00000000">
        <w:rPr>
          <w:rFonts w:ascii="Calibri" w:cs="Calibri" w:eastAsia="Calibri" w:hAnsi="Calibri"/>
        </w:rPr>
        <w:drawing>
          <wp:inline distB="0" distT="0" distL="0" distR="0">
            <wp:extent cx="6120130" cy="2787650"/>
            <wp:effectExtent b="0" l="0" r="0" t="0"/>
            <wp:docPr id="172192808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120130" cy="2787650"/>
                    </a:xfrm>
                    <a:prstGeom prst="rect"/>
                    <a:ln/>
                  </pic:spPr>
                </pic:pic>
              </a:graphicData>
            </a:graphic>
          </wp:inline>
        </w:drawing>
      </w:r>
      <w:r w:rsidDel="00000000" w:rsidR="00000000" w:rsidRPr="00000000">
        <w:rPr>
          <w:rFonts w:ascii="Calibri" w:cs="Calibri" w:eastAsia="Calibri" w:hAnsi="Calibri"/>
        </w:rPr>
        <w:drawing>
          <wp:inline distB="0" distT="0" distL="0" distR="0">
            <wp:extent cx="6120130" cy="2800350"/>
            <wp:effectExtent b="0" l="0" r="0" t="0"/>
            <wp:docPr id="172192808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20130" cy="2800350"/>
                    </a:xfrm>
                    <a:prstGeom prst="rect"/>
                    <a:ln/>
                  </pic:spPr>
                </pic:pic>
              </a:graphicData>
            </a:graphic>
          </wp:inline>
        </w:drawing>
      </w:r>
      <w:r w:rsidDel="00000000" w:rsidR="00000000" w:rsidRPr="00000000">
        <w:rPr>
          <w:rFonts w:ascii="Calibri" w:cs="Calibri" w:eastAsia="Calibri" w:hAnsi="Calibri"/>
        </w:rPr>
        <w:drawing>
          <wp:inline distB="0" distT="0" distL="0" distR="0">
            <wp:extent cx="6120130" cy="2994660"/>
            <wp:effectExtent b="0" l="0" r="0" t="0"/>
            <wp:docPr id="172192808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120130" cy="2994660"/>
                    </a:xfrm>
                    <a:prstGeom prst="rect"/>
                    <a:ln/>
                  </pic:spPr>
                </pic:pic>
              </a:graphicData>
            </a:graphic>
          </wp:inline>
        </w:drawing>
      </w:r>
      <w:r w:rsidDel="00000000" w:rsidR="00000000" w:rsidRPr="00000000">
        <w:rPr>
          <w:rFonts w:ascii="Calibri" w:cs="Calibri" w:eastAsia="Calibri" w:hAnsi="Calibri"/>
        </w:rPr>
        <w:drawing>
          <wp:inline distB="0" distT="0" distL="0" distR="0">
            <wp:extent cx="6120130" cy="3000375"/>
            <wp:effectExtent b="0" l="0" r="0" t="0"/>
            <wp:docPr id="172192808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120130" cy="3000375"/>
                    </a:xfrm>
                    <a:prstGeom prst="rect"/>
                    <a:ln/>
                  </pic:spPr>
                </pic:pic>
              </a:graphicData>
            </a:graphic>
          </wp:inline>
        </w:drawing>
      </w:r>
      <w:r w:rsidDel="00000000" w:rsidR="00000000" w:rsidRPr="00000000">
        <w:rPr>
          <w:rFonts w:ascii="Calibri" w:cs="Calibri" w:eastAsia="Calibri" w:hAnsi="Calibri"/>
        </w:rPr>
        <w:drawing>
          <wp:inline distB="0" distT="0" distL="0" distR="0">
            <wp:extent cx="6120130" cy="2990850"/>
            <wp:effectExtent b="0" l="0" r="0" t="0"/>
            <wp:docPr id="172192808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120130" cy="2990850"/>
                    </a:xfrm>
                    <a:prstGeom prst="rect"/>
                    <a:ln/>
                  </pic:spPr>
                </pic:pic>
              </a:graphicData>
            </a:graphic>
          </wp:inline>
        </w:drawing>
      </w:r>
      <w:r w:rsidDel="00000000" w:rsidR="00000000" w:rsidRPr="00000000">
        <w:rPr>
          <w:rtl w:val="0"/>
        </w:rPr>
      </w:r>
    </w:p>
    <w:sectPr>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120" w:before="240" w:lineRule="auto"/>
    </w:pPr>
    <w:rPr>
      <w:b w:val="1"/>
      <w:bCs w:val="1"/>
      <w:sz w:val="48"/>
      <w:szCs w:val="48"/>
    </w:rPr>
  </w:style>
  <w:style w:type="paragraph" w:styleId="Heading2">
    <w:name w:val="heading 2"/>
    <w:basedOn w:val="Normal"/>
    <w:next w:val="Normal"/>
    <w:pPr>
      <w:keepNext w:val="1"/>
      <w:spacing w:after="120" w:before="200" w:lineRule="auto"/>
    </w:pPr>
    <w:rPr>
      <w:b w:val="1"/>
      <w:bCs w:val="1"/>
      <w:sz w:val="36"/>
      <w:szCs w:val="36"/>
    </w:rPr>
  </w:style>
  <w:style w:type="paragraph" w:styleId="Heading3">
    <w:name w:val="heading 3"/>
    <w:basedOn w:val="Normal"/>
    <w:next w:val="Normal"/>
    <w:pPr>
      <w:keepNext w:val="1"/>
      <w:spacing w:after="120" w:before="14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Grid">
    <w:name w:val="Table Grid"/>
    <w:basedOn w:val="TableNormal"/>
    <w:uiPriority w:val="39"/>
    <w:rsid w:val="00EB2F6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IwTX6slJb+MYt30FWY/qWMbhdA==">CgMxLjA4AHIhMWt1WXIwcGJJTXZHWFhieXFpUXl3MHlQZ05ucEVJVnFO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2026-01-31T12:33:00Z</dcterms:created>
</cp:coreProperties>
</file>