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Report on the India</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Denmark Bilateral Session on Computer-Related Inventions (CRI)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 November 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Mode: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Online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Duration: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02:30 PM - 04:30 PM IST (10:00 AM – 12:00 PM CEST)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Participants: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Approximately 25</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 officers, including around 20 representatives from IPO India and 4 from DKPTO Denmark.</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Introduction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Office of the Controller General of Patents, Designs and Trade Marks (CGPDTM), India, and the Danish Patent and Trademark Office (DKPTO) jointly conducted an online technical exchange session on Computer-Related Inventions (CRI), with a special focus on </w:t>
      </w:r>
      <w:r w:rsidDel="00000000" w:rsidR="00000000" w:rsidRPr="00000000">
        <w:rPr>
          <w:rFonts w:ascii="Calibri" w:cs="Calibri" w:eastAsia="Calibri" w:hAnsi="Calibri"/>
          <w:rtl w:val="0"/>
        </w:rPr>
        <w:t xml:space="preserve">practical scenario-based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examination practices. The objective was to foster collaboration, strengthen examination consistency, and enhance mutual understanding of CRI frameworks across jurisdictions.</w:t>
      </w:r>
    </w:p>
    <w:p w:rsidR="00000000" w:rsidDel="00000000" w:rsidP="00000000" w:rsidRDefault="00000000" w:rsidRPr="00000000" w14:paraId="00000007">
      <w:pPr>
        <w:spacing w:after="200" w:lineRule="auto"/>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Technical Presentation by IPO Delhi:</w:t>
      </w:r>
      <w:r w:rsidDel="00000000" w:rsidR="00000000" w:rsidRPr="00000000">
        <w:rPr>
          <w:rtl w:val="0"/>
        </w:rPr>
        <w:t xml:space="preserve"> </w:t>
      </w:r>
      <w:r w:rsidDel="00000000" w:rsidR="00000000" w:rsidRPr="00000000">
        <w:rPr>
          <w:rFonts w:ascii="Calibri" w:cs="Calibri" w:eastAsia="Calibri" w:hAnsi="Calibri"/>
          <w:rtl w:val="0"/>
        </w:rPr>
        <w:t xml:space="preserve">Following the opening remarks,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 Indian delegation delivered a detailed presentation on the updated CRI Guidelines and their practical application in AI</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ML cases. Key points included:</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afterAutospacing="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Understanding assessment of Mathematical Method exclusions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afterAutospacing="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Understanding assessment of Algorithm exclusions</w:t>
      </w:r>
      <w:r w:rsidDel="00000000" w:rsidR="00000000" w:rsidRPr="00000000">
        <w:rPr>
          <w:rtl w:val="0"/>
        </w:rPr>
      </w:r>
    </w:p>
    <w:p w:rsidR="00000000" w:rsidDel="00000000" w:rsidP="00000000" w:rsidRDefault="00000000" w:rsidRPr="00000000" w14:paraId="0000000A">
      <w:pPr>
        <w:numPr>
          <w:ilvl w:val="0"/>
          <w:numId w:val="2"/>
        </w:numPr>
        <w:tabs>
          <w:tab w:val="left" w:leader="none" w:pos="0"/>
        </w:tabs>
        <w:spacing w:after="0" w:after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Assessing whether the claimed invention falls under the exclusion of computer programme per se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Demonstration of Flow charts showing assessments of above three exclusions.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presentation offered practical clarity and helped contextualize the application of guidelines in real examination workflows.</w:t>
      </w:r>
    </w:p>
    <w:p w:rsidR="00000000" w:rsidDel="00000000" w:rsidP="00000000" w:rsidRDefault="00000000" w:rsidRPr="00000000" w14:paraId="0000000D">
      <w:pPr>
        <w:jc w:val="both"/>
        <w:rPr>
          <w:rFonts w:ascii="Calibri" w:cs="Calibri" w:eastAsia="Calibri" w:hAnsi="Calibri"/>
          <w:sz w:val="24"/>
          <w:szCs w:val="24"/>
          <w:vertAlign w:val="baseline"/>
        </w:rPr>
      </w:pPr>
      <w:r w:rsidDel="00000000" w:rsidR="00000000" w:rsidRPr="00000000">
        <w:rPr>
          <w:rFonts w:ascii="Calibri" w:cs="Calibri" w:eastAsia="Calibri" w:hAnsi="Calibri"/>
          <w:b w:val="1"/>
          <w:bCs w:val="1"/>
          <w:sz w:val="24"/>
          <w:szCs w:val="24"/>
          <w:rtl w:val="0"/>
        </w:rPr>
        <w:t xml:space="preserve">Technical Presentation by DKPTO Denmark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vertAlign w:val="baseline"/>
          <w:rtl w:val="0"/>
        </w:rPr>
        <w:t xml:space="preserve">The DKPTO examiners provided insights into their examination methodology using real case examples. Their presentation focused on:</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afterAutospacing="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Alignment with EPC Framework &amp; Two-Hurdle Approach</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afterAutospacing="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Treatment of Mixed-Type Claims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afterAutospacing="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Determining Technical Effect for CIIs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Use of Problem–Solution Approach Focused on Technical Contribution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segment enabled participants to appreciate procedural differences and similarities in CRI examination across jurisdictions.</w:t>
      </w:r>
    </w:p>
    <w:p w:rsidR="00000000" w:rsidDel="00000000" w:rsidP="00000000" w:rsidRDefault="00000000" w:rsidRPr="00000000" w14:paraId="00000014">
      <w:pPr>
        <w:pStyle w:val="Heading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Open Floor Discussion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Participants from </w:t>
      </w:r>
      <w:r w:rsidDel="00000000" w:rsidR="00000000" w:rsidRPr="00000000">
        <w:rPr>
          <w:rFonts w:ascii="Calibri" w:cs="Calibri" w:eastAsia="Calibri" w:hAnsi="Calibri"/>
          <w:b w:val="0"/>
          <w:bCs w:val="0"/>
          <w:sz w:val="24"/>
          <w:szCs w:val="24"/>
          <w:rtl w:val="0"/>
        </w:rPr>
        <w:t xml:space="preserve">Indian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offices engaged in a meaningful exchange of experiences and challenges which were addr</w:t>
      </w:r>
      <w:r w:rsidDel="00000000" w:rsidR="00000000" w:rsidRPr="00000000">
        <w:rPr>
          <w:rFonts w:ascii="Calibri" w:cs="Calibri" w:eastAsia="Calibri" w:hAnsi="Calibri"/>
          <w:b w:val="0"/>
          <w:bCs w:val="0"/>
          <w:sz w:val="24"/>
          <w:szCs w:val="24"/>
          <w:rtl w:val="0"/>
        </w:rPr>
        <w:t xml:space="preserve">essed to satisfaction by speakers from both sides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open discussion was highly interactive and well appreciated by participants.</w:t>
      </w:r>
    </w:p>
    <w:p w:rsidR="00000000" w:rsidDel="00000000" w:rsidP="00000000" w:rsidRDefault="00000000" w:rsidRPr="00000000" w14:paraId="00000015">
      <w:pPr>
        <w:pStyle w:val="Heading2"/>
        <w:jc w:val="both"/>
        <w:rPr>
          <w:rFonts w:ascii="Calibri" w:cs="Calibri" w:eastAsia="Calibri" w:hAnsi="Calibri"/>
          <w:b w:val="0"/>
          <w:bCs w:val="0"/>
          <w:sz w:val="24"/>
          <w:szCs w:val="24"/>
        </w:rPr>
      </w:pPr>
      <w:r w:rsidDel="00000000" w:rsidR="00000000" w:rsidRPr="00000000">
        <w:rPr>
          <w:rFonts w:ascii="Calibri" w:cs="Calibri" w:eastAsia="Calibri" w:hAnsi="Calibri"/>
          <w:b w:val="1"/>
          <w:bCs w:val="1"/>
          <w:sz w:val="24"/>
          <w:szCs w:val="24"/>
          <w:rtl w:val="0"/>
        </w:rPr>
        <w:t xml:space="preserve">Conclusion: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Closing remarks reaffirmed the importance of bilateral cooperation and the success of the session. Both sides expressed interest in continuing such exchanges and exploring future deep-dive sessions on advanced CRI topics. A feedback form was circulated to gather participant insights for refining upcoming engagements.</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jc w:val="both"/>
        <w:rPr/>
      </w:pPr>
      <w:bookmarkStart w:colFirst="0" w:colLast="0" w:name="_eqn8mqsm94kp" w:id="0"/>
      <w:bookmarkEnd w:id="0"/>
      <w:r w:rsidDel="00000000" w:rsidR="00000000" w:rsidRPr="00000000">
        <w:rPr/>
        <w:drawing>
          <wp:inline distB="114300" distT="114300" distL="114300" distR="114300">
            <wp:extent cx="6124575" cy="3118485"/>
            <wp:effectExtent b="0" l="0" r="0" t="0"/>
            <wp:docPr id="4" name="image4.jpg"/>
            <a:graphic>
              <a:graphicData uri="http://schemas.openxmlformats.org/drawingml/2006/picture">
                <pic:pic>
                  <pic:nvPicPr>
                    <pic:cNvPr id="0" name="image4.jpg"/>
                    <pic:cNvPicPr preferRelativeResize="0"/>
                  </pic:nvPicPr>
                  <pic:blipFill>
                    <a:blip r:embed="rId6"/>
                    <a:srcRect b="5699" l="0" r="0" t="3711"/>
                    <a:stretch>
                      <a:fillRect/>
                    </a:stretch>
                  </pic:blipFill>
                  <pic:spPr>
                    <a:xfrm>
                      <a:off x="0" y="0"/>
                      <a:ext cx="6124575" cy="311848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Style w:val="Heading2"/>
        <w:jc w:val="both"/>
        <w:rPr/>
      </w:pPr>
      <w:bookmarkStart w:colFirst="0" w:colLast="0" w:name="_5tl2565biq30" w:id="1"/>
      <w:bookmarkEnd w:id="1"/>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sz w:val="36"/>
          <w:szCs w:val="36"/>
        </w:rPr>
        <w:drawing>
          <wp:inline distB="114300" distT="114300" distL="114300" distR="114300">
            <wp:extent cx="6119820" cy="3111500"/>
            <wp:effectExtent b="0" l="0" r="0" t="0"/>
            <wp:docPr id="3" name="image2.jpg"/>
            <a:graphic>
              <a:graphicData uri="http://schemas.openxmlformats.org/drawingml/2006/picture">
                <pic:pic>
                  <pic:nvPicPr>
                    <pic:cNvPr id="0" name="image2.jpg"/>
                    <pic:cNvPicPr preferRelativeResize="0"/>
                  </pic:nvPicPr>
                  <pic:blipFill>
                    <a:blip r:embed="rId7"/>
                    <a:srcRect b="5146" l="0" r="0" t="4265"/>
                    <a:stretch>
                      <a:fillRect/>
                    </a:stretch>
                  </pic:blipFill>
                  <pic:spPr>
                    <a:xfrm>
                      <a:off x="0" y="0"/>
                      <a:ext cx="611982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2"/>
        <w:jc w:val="both"/>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6124575" cy="3128010"/>
            <wp:effectExtent b="0" l="0" r="0" t="0"/>
            <wp:docPr id="1" name="image3.jpg"/>
            <a:graphic>
              <a:graphicData uri="http://schemas.openxmlformats.org/drawingml/2006/picture">
                <pic:pic>
                  <pic:nvPicPr>
                    <pic:cNvPr id="0" name="image3.jpg"/>
                    <pic:cNvPicPr preferRelativeResize="0"/>
                  </pic:nvPicPr>
                  <pic:blipFill>
                    <a:blip r:embed="rId8"/>
                    <a:srcRect b="5423" l="0" r="0" t="3711"/>
                    <a:stretch>
                      <a:fillRect/>
                    </a:stretch>
                  </pic:blipFill>
                  <pic:spPr>
                    <a:xfrm>
                      <a:off x="0" y="0"/>
                      <a:ext cx="6124575" cy="312801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6119820" cy="3073400"/>
            <wp:effectExtent b="0" l="0" r="0" t="0"/>
            <wp:docPr id="2" name="image1.jpg"/>
            <a:graphic>
              <a:graphicData uri="http://schemas.openxmlformats.org/drawingml/2006/picture">
                <pic:pic>
                  <pic:nvPicPr>
                    <pic:cNvPr id="0" name="image1.jpg"/>
                    <pic:cNvPicPr preferRelativeResize="0"/>
                  </pic:nvPicPr>
                  <pic:blipFill>
                    <a:blip r:embed="rId9"/>
                    <a:srcRect b="6253" l="0" r="0" t="4265"/>
                    <a:stretch>
                      <a:fillRect/>
                    </a:stretch>
                  </pic:blipFill>
                  <pic:spPr>
                    <a:xfrm>
                      <a:off x="0" y="0"/>
                      <a:ext cx="6119820" cy="3073400"/>
                    </a:xfrm>
                    <a:prstGeom prst="rect"/>
                    <a:ln/>
                  </pic:spPr>
                </pic:pic>
              </a:graphicData>
            </a:graphic>
          </wp:inline>
        </w:drawing>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bCs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